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A4D0" w14:textId="77777777" w:rsidR="00150247" w:rsidRDefault="00400004" w:rsidP="00400004">
      <w:pPr>
        <w:jc w:val="center"/>
      </w:pPr>
      <w:r>
        <w:rPr>
          <w:noProof/>
        </w:rPr>
        <w:drawing>
          <wp:inline distT="0" distB="0" distL="0" distR="0" wp14:anchorId="7D9B5EFC" wp14:editId="4C97E1CE">
            <wp:extent cx="1874983" cy="1031240"/>
            <wp:effectExtent l="0" t="0" r="5080" b="10160"/>
            <wp:docPr id="1" name="Picture 1" descr="/Users/alanbrown/Desktop/UNCCN Graphics/UNC Cancer Network Logo BL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anbrown/Desktop/UNCCN Graphics/UNC Cancer Network Logo BLU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69" cy="10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742A" w14:textId="77777777" w:rsidR="00400004" w:rsidRPr="00D6081F" w:rsidRDefault="00400004" w:rsidP="00400004">
      <w:pPr>
        <w:jc w:val="center"/>
        <w:rPr>
          <w:sz w:val="10"/>
          <w:szCs w:val="10"/>
        </w:rPr>
      </w:pPr>
    </w:p>
    <w:p w14:paraId="7875365D" w14:textId="0326B6F3" w:rsidR="00400004" w:rsidRPr="00D6081F" w:rsidRDefault="00190783" w:rsidP="00400004">
      <w:pPr>
        <w:jc w:val="center"/>
        <w:rPr>
          <w:b/>
          <w:color w:val="55A2D7"/>
          <w:sz w:val="40"/>
        </w:rPr>
      </w:pPr>
      <w:r>
        <w:rPr>
          <w:b/>
          <w:color w:val="55A2D7"/>
          <w:sz w:val="40"/>
        </w:rPr>
        <w:t>Med</w:t>
      </w:r>
      <w:r w:rsidR="00FA5300">
        <w:rPr>
          <w:b/>
          <w:color w:val="55A2D7"/>
          <w:sz w:val="40"/>
        </w:rPr>
        <w:t>ical</w:t>
      </w:r>
      <w:r>
        <w:rPr>
          <w:b/>
          <w:color w:val="55A2D7"/>
          <w:sz w:val="40"/>
        </w:rPr>
        <w:t xml:space="preserve"> and </w:t>
      </w:r>
      <w:r w:rsidR="004067F3">
        <w:rPr>
          <w:b/>
          <w:color w:val="55A2D7"/>
          <w:sz w:val="40"/>
        </w:rPr>
        <w:t>Surg</w:t>
      </w:r>
      <w:r>
        <w:rPr>
          <w:b/>
          <w:color w:val="55A2D7"/>
          <w:sz w:val="40"/>
        </w:rPr>
        <w:t>ical Oncology</w:t>
      </w:r>
      <w:r w:rsidR="00400004" w:rsidRPr="00D6081F">
        <w:rPr>
          <w:b/>
          <w:color w:val="55A2D7"/>
          <w:sz w:val="40"/>
        </w:rPr>
        <w:t xml:space="preserve"> Lecture:</w:t>
      </w:r>
    </w:p>
    <w:p w14:paraId="0A972173" w14:textId="77777777" w:rsidR="00CB59F3" w:rsidRPr="00400004" w:rsidRDefault="00CB59F3" w:rsidP="00CB59F3">
      <w:pPr>
        <w:jc w:val="center"/>
        <w:rPr>
          <w:sz w:val="48"/>
          <w:szCs w:val="36"/>
        </w:rPr>
      </w:pPr>
      <w:r w:rsidRPr="005D5AD0">
        <w:rPr>
          <w:b/>
          <w:bCs/>
          <w:sz w:val="48"/>
          <w:szCs w:val="36"/>
        </w:rPr>
        <w:t>Immunotherapy Advances in Lung Cancer</w:t>
      </w:r>
    </w:p>
    <w:p w14:paraId="686DD72E" w14:textId="77777777" w:rsidR="00CB59F3" w:rsidRDefault="00CB59F3" w:rsidP="00CB59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Wednesday</w:t>
      </w:r>
      <w:r w:rsidRPr="00400004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February 21</w:t>
      </w:r>
      <w:r w:rsidRPr="00400004">
        <w:rPr>
          <w:b/>
          <w:bCs/>
          <w:sz w:val="36"/>
          <w:szCs w:val="36"/>
        </w:rPr>
        <w:t>, 201</w:t>
      </w:r>
      <w:r>
        <w:rPr>
          <w:b/>
          <w:bCs/>
          <w:sz w:val="36"/>
          <w:szCs w:val="36"/>
        </w:rPr>
        <w:t>8</w:t>
      </w:r>
    </w:p>
    <w:p w14:paraId="431BBAB4" w14:textId="58E4FAF7" w:rsidR="00400004" w:rsidRPr="00400004" w:rsidRDefault="00400004" w:rsidP="00CB59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12:00 - 1:00 P.M</w:t>
      </w:r>
      <w:r w:rsidRPr="00400004">
        <w:rPr>
          <w:b/>
          <w:bCs/>
          <w:sz w:val="36"/>
          <w:szCs w:val="36"/>
        </w:rPr>
        <w:t>.</w:t>
      </w:r>
    </w:p>
    <w:p w14:paraId="19D65100" w14:textId="77777777" w:rsidR="00400004" w:rsidRPr="00377F5D" w:rsidRDefault="00400004" w:rsidP="00400004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5A2D7"/>
        <w:tblLook w:val="04A0" w:firstRow="1" w:lastRow="0" w:firstColumn="1" w:lastColumn="0" w:noHBand="0" w:noVBand="1"/>
      </w:tblPr>
      <w:tblGrid>
        <w:gridCol w:w="3330"/>
        <w:gridCol w:w="7460"/>
      </w:tblGrid>
      <w:tr w:rsidR="00400004" w14:paraId="37D2D91E" w14:textId="77777777" w:rsidTr="00400004">
        <w:tc>
          <w:tcPr>
            <w:tcW w:w="3330" w:type="dxa"/>
            <w:shd w:val="clear" w:color="auto" w:fill="55A2D7"/>
            <w:vAlign w:val="center"/>
          </w:tcPr>
          <w:p w14:paraId="4DEE3D06" w14:textId="3825B33D" w:rsidR="00400004" w:rsidRDefault="00CB59F3" w:rsidP="0054317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95A0587" wp14:editId="2D92C1C5">
                  <wp:extent cx="1054889" cy="1397204"/>
                  <wp:effectExtent l="0" t="0" r="1206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d Pecot- 1.15 x 1.5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89" cy="139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shd w:val="clear" w:color="auto" w:fill="55A2D7"/>
            <w:vAlign w:val="center"/>
          </w:tcPr>
          <w:p w14:paraId="3C739FE9" w14:textId="77777777" w:rsidR="00CB59F3" w:rsidRPr="001406F4" w:rsidRDefault="00CB59F3" w:rsidP="00CB59F3">
            <w:pPr>
              <w:jc w:val="center"/>
              <w:rPr>
                <w:color w:val="FFFFFF" w:themeColor="background1"/>
                <w:sz w:val="44"/>
              </w:rPr>
            </w:pPr>
            <w:r w:rsidRPr="00533083">
              <w:rPr>
                <w:b/>
                <w:bCs/>
                <w:color w:val="FFFFFF" w:themeColor="background1"/>
                <w:sz w:val="44"/>
              </w:rPr>
              <w:t xml:space="preserve">Chad </w:t>
            </w:r>
            <w:proofErr w:type="spellStart"/>
            <w:r w:rsidRPr="00533083">
              <w:rPr>
                <w:b/>
                <w:bCs/>
                <w:color w:val="FFFFFF" w:themeColor="background1"/>
                <w:sz w:val="44"/>
              </w:rPr>
              <w:t>Pecot</w:t>
            </w:r>
            <w:proofErr w:type="spellEnd"/>
            <w:r w:rsidRPr="00533083">
              <w:rPr>
                <w:b/>
                <w:bCs/>
                <w:color w:val="FFFFFF" w:themeColor="background1"/>
                <w:sz w:val="44"/>
              </w:rPr>
              <w:t>, MD</w:t>
            </w:r>
          </w:p>
          <w:p w14:paraId="3ACA8709" w14:textId="77777777" w:rsidR="00CB59F3" w:rsidRPr="001406F4" w:rsidRDefault="00CB59F3" w:rsidP="00CB59F3">
            <w:pPr>
              <w:jc w:val="center"/>
              <w:rPr>
                <w:b/>
                <w:bCs/>
                <w:color w:val="FFFFFF" w:themeColor="background1"/>
              </w:rPr>
            </w:pPr>
            <w:r w:rsidRPr="00533083">
              <w:rPr>
                <w:b/>
                <w:bCs/>
                <w:color w:val="FFFFFF" w:themeColor="background1"/>
              </w:rPr>
              <w:t>Assistant Professor</w:t>
            </w:r>
          </w:p>
          <w:p w14:paraId="06AB3280" w14:textId="77777777" w:rsidR="00CB59F3" w:rsidRPr="001406F4" w:rsidRDefault="00CB59F3" w:rsidP="00CB59F3">
            <w:pPr>
              <w:jc w:val="center"/>
              <w:rPr>
                <w:b/>
                <w:bCs/>
                <w:color w:val="FFFFFF" w:themeColor="background1"/>
              </w:rPr>
            </w:pPr>
            <w:r w:rsidRPr="001406F4">
              <w:rPr>
                <w:b/>
                <w:bCs/>
                <w:color w:val="FFFFFF" w:themeColor="background1"/>
              </w:rPr>
              <w:t>UNC School of Medicine</w:t>
            </w:r>
          </w:p>
          <w:p w14:paraId="70BCFDE3" w14:textId="77777777" w:rsidR="00CB59F3" w:rsidRPr="001406F4" w:rsidRDefault="00CB59F3" w:rsidP="00CB59F3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1406F4">
              <w:rPr>
                <w:b/>
                <w:bCs/>
                <w:color w:val="FFFFFF" w:themeColor="background1"/>
              </w:rPr>
              <w:t>Lineberger</w:t>
            </w:r>
            <w:proofErr w:type="spellEnd"/>
            <w:r w:rsidRPr="001406F4">
              <w:rPr>
                <w:b/>
                <w:bCs/>
                <w:color w:val="FFFFFF" w:themeColor="background1"/>
              </w:rPr>
              <w:t xml:space="preserve"> Comprehensive Cancer Center</w:t>
            </w:r>
          </w:p>
          <w:p w14:paraId="07BB4F03" w14:textId="1D64DFCF" w:rsidR="00400004" w:rsidRPr="00400004" w:rsidRDefault="00CB59F3" w:rsidP="00CB59F3">
            <w:pPr>
              <w:jc w:val="center"/>
              <w:rPr>
                <w:b/>
                <w:bCs/>
              </w:rPr>
            </w:pPr>
            <w:r w:rsidRPr="001406F4">
              <w:rPr>
                <w:b/>
                <w:bCs/>
                <w:color w:val="FFFFFF" w:themeColor="background1"/>
              </w:rPr>
              <w:t>University of North Carolina, Chapel Hill</w:t>
            </w:r>
          </w:p>
        </w:tc>
      </w:tr>
    </w:tbl>
    <w:p w14:paraId="2EE02220" w14:textId="6C8A5607" w:rsidR="00400004" w:rsidRDefault="00400004" w:rsidP="00400004"/>
    <w:p w14:paraId="6789F160" w14:textId="77777777" w:rsidR="00400004" w:rsidRDefault="00400004" w:rsidP="00400004">
      <w:pPr>
        <w:rPr>
          <w:b/>
          <w:bCs/>
          <w:color w:val="55A2D7"/>
        </w:rPr>
      </w:pPr>
      <w:r>
        <w:rPr>
          <w:b/>
          <w:bCs/>
          <w:color w:val="55A2D7"/>
        </w:rPr>
        <w:t>Learning Outcomes:</w:t>
      </w:r>
      <w:r w:rsidRPr="00400004">
        <w:rPr>
          <w:b/>
          <w:bCs/>
          <w:color w:val="55A2D7"/>
        </w:rPr>
        <w:t xml:space="preserve"> </w:t>
      </w:r>
    </w:p>
    <w:p w14:paraId="31FDE237" w14:textId="77777777" w:rsidR="001406F4" w:rsidRPr="001406F4" w:rsidRDefault="001406F4" w:rsidP="00400004">
      <w:pPr>
        <w:rPr>
          <w:color w:val="55A2D7"/>
          <w:sz w:val="10"/>
          <w:szCs w:val="10"/>
        </w:rPr>
      </w:pPr>
    </w:p>
    <w:p w14:paraId="05FB78D1" w14:textId="77777777" w:rsidR="00CB59F3" w:rsidRDefault="00CB59F3" w:rsidP="00CB59F3">
      <w:pPr>
        <w:pStyle w:val="ListParagraph"/>
        <w:numPr>
          <w:ilvl w:val="0"/>
          <w:numId w:val="1"/>
        </w:numPr>
      </w:pPr>
      <w:r w:rsidRPr="006727B7">
        <w:t>To understand basic tumor immunology and concepts regarding use of the immune system to combat cancer.</w:t>
      </w:r>
    </w:p>
    <w:p w14:paraId="1B569BE8" w14:textId="77777777" w:rsidR="00CB59F3" w:rsidRDefault="00CB59F3" w:rsidP="00CB59F3">
      <w:pPr>
        <w:pStyle w:val="ListParagraph"/>
        <w:numPr>
          <w:ilvl w:val="0"/>
          <w:numId w:val="1"/>
        </w:numPr>
      </w:pPr>
      <w:r w:rsidRPr="006727B7">
        <w:t>To describe current FDA approved immunotherapies in lung cancer.</w:t>
      </w:r>
    </w:p>
    <w:p w14:paraId="64A7E3AB" w14:textId="77777777" w:rsidR="00CB59F3" w:rsidRDefault="00CB59F3" w:rsidP="00CB59F3">
      <w:pPr>
        <w:pStyle w:val="ListParagraph"/>
        <w:numPr>
          <w:ilvl w:val="0"/>
          <w:numId w:val="1"/>
        </w:numPr>
      </w:pPr>
      <w:r w:rsidRPr="006727B7">
        <w:t>To outline some of the promising future directions in immunotherapy.</w:t>
      </w:r>
    </w:p>
    <w:p w14:paraId="0C92E73E" w14:textId="77777777" w:rsidR="00E05429" w:rsidRPr="00377F5D" w:rsidRDefault="00E05429" w:rsidP="00E05429">
      <w:pPr>
        <w:pStyle w:val="ListParagraph"/>
        <w:rPr>
          <w:sz w:val="10"/>
          <w:szCs w:val="10"/>
        </w:rPr>
      </w:pPr>
      <w:bookmarkStart w:id="0" w:name="_GoBack"/>
      <w:bookmarkEnd w:id="0"/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410"/>
        <w:gridCol w:w="5410"/>
      </w:tblGrid>
      <w:tr w:rsidR="00400004" w14:paraId="7CC8BE8B" w14:textId="77777777" w:rsidTr="001E7B9D">
        <w:trPr>
          <w:trHeight w:val="1174"/>
        </w:trPr>
        <w:tc>
          <w:tcPr>
            <w:tcW w:w="5410" w:type="dxa"/>
          </w:tcPr>
          <w:p w14:paraId="11738DD5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WHERE: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1914DDA0" w14:textId="77777777" w:rsidR="00292DA9" w:rsidRPr="001406F4" w:rsidRDefault="00292DA9" w:rsidP="00400004">
            <w:pPr>
              <w:rPr>
                <w:b/>
                <w:bCs/>
                <w:color w:val="55A2D7"/>
                <w:sz w:val="10"/>
                <w:szCs w:val="10"/>
              </w:rPr>
            </w:pPr>
          </w:p>
          <w:p w14:paraId="50871446" w14:textId="2298C2DD" w:rsidR="00400004" w:rsidRPr="00D6081F" w:rsidRDefault="004B3B38" w:rsidP="00400004">
            <w:pPr>
              <w:rPr>
                <w:color w:val="55A2D7"/>
              </w:rPr>
            </w:pPr>
            <w:r>
              <w:t xml:space="preserve">This Telehealth Lecture will be broadcast live using UNC telemedicine equipment, via WebEx, and via </w:t>
            </w:r>
            <w:proofErr w:type="spellStart"/>
            <w:r>
              <w:t>GoToWebinar</w:t>
            </w:r>
            <w:proofErr w:type="spellEnd"/>
            <w:r>
              <w:t>.</w:t>
            </w:r>
          </w:p>
        </w:tc>
        <w:tc>
          <w:tcPr>
            <w:tcW w:w="5410" w:type="dxa"/>
          </w:tcPr>
          <w:p w14:paraId="69219067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HOW: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47ADAA7E" w14:textId="77777777" w:rsidR="001406F4" w:rsidRPr="001406F4" w:rsidRDefault="001406F4" w:rsidP="00400004">
            <w:pPr>
              <w:rPr>
                <w:color w:val="55A2D7"/>
                <w:sz w:val="10"/>
                <w:szCs w:val="10"/>
              </w:rPr>
            </w:pPr>
          </w:p>
          <w:p w14:paraId="6C726CE7" w14:textId="23A3F525" w:rsidR="00400004" w:rsidRDefault="004B3B38" w:rsidP="00994061">
            <w:r w:rsidRPr="00900F0C">
              <w:rPr>
                <w:color w:val="000000" w:themeColor="text1"/>
              </w:rPr>
              <w:t xml:space="preserve">Visit </w:t>
            </w:r>
            <w:r w:rsidRPr="00994061">
              <w:t>www.unccn.org/</w:t>
            </w:r>
            <w:r w:rsidR="00994061">
              <w:t>events</w:t>
            </w:r>
            <w:r w:rsidRPr="00900F0C">
              <w:rPr>
                <w:color w:val="000000" w:themeColor="text1"/>
              </w:rPr>
              <w:t xml:space="preserve"> to </w:t>
            </w:r>
            <w:r>
              <w:t xml:space="preserve">register for this lecture, contact your Site Coordinator, or email: </w:t>
            </w:r>
            <w:r w:rsidRPr="00D6081F">
              <w:rPr>
                <w:u w:val="single"/>
              </w:rPr>
              <w:t>unccn@unc.edu</w:t>
            </w:r>
          </w:p>
        </w:tc>
      </w:tr>
    </w:tbl>
    <w:p w14:paraId="07E6E237" w14:textId="77777777" w:rsidR="001E7B9D" w:rsidRPr="00377F5D" w:rsidRDefault="001E7B9D" w:rsidP="00400004">
      <w:pPr>
        <w:rPr>
          <w:sz w:val="10"/>
          <w:szCs w:val="10"/>
        </w:rPr>
      </w:pPr>
    </w:p>
    <w:p w14:paraId="6B7C5A65" w14:textId="77777777" w:rsidR="00400004" w:rsidRPr="001406F4" w:rsidRDefault="00400004" w:rsidP="00400004">
      <w:pPr>
        <w:jc w:val="center"/>
        <w:rPr>
          <w:sz w:val="32"/>
        </w:rPr>
      </w:pPr>
      <w:r w:rsidRPr="001406F4">
        <w:rPr>
          <w:b/>
          <w:color w:val="538135" w:themeColor="accent6" w:themeShade="BF"/>
          <w:sz w:val="32"/>
          <w:u w:val="single"/>
        </w:rPr>
        <w:t>LEARN MORE:</w:t>
      </w:r>
      <w:r w:rsidRPr="001406F4">
        <w:rPr>
          <w:color w:val="538135" w:themeColor="accent6" w:themeShade="BF"/>
          <w:sz w:val="32"/>
        </w:rPr>
        <w:t xml:space="preserve"> </w:t>
      </w:r>
      <w:r w:rsidR="00292DA9" w:rsidRPr="001406F4">
        <w:rPr>
          <w:color w:val="538135" w:themeColor="accent6" w:themeShade="BF"/>
          <w:sz w:val="32"/>
        </w:rPr>
        <w:t xml:space="preserve"> </w:t>
      </w:r>
      <w:r w:rsidRPr="001406F4">
        <w:rPr>
          <w:b/>
          <w:sz w:val="32"/>
        </w:rPr>
        <w:t>unccn.org</w:t>
      </w:r>
    </w:p>
    <w:p w14:paraId="51E98D84" w14:textId="77777777" w:rsidR="001E7B9D" w:rsidRPr="00377F5D" w:rsidRDefault="001E7B9D" w:rsidP="00994061">
      <w:pPr>
        <w:rPr>
          <w:sz w:val="10"/>
          <w:szCs w:val="10"/>
        </w:rPr>
      </w:pPr>
    </w:p>
    <w:p w14:paraId="75CDFD75" w14:textId="0A9BDB9F" w:rsidR="00685CF5" w:rsidRPr="001406F4" w:rsidRDefault="00400004" w:rsidP="00685CF5">
      <w:pPr>
        <w:jc w:val="center"/>
        <w:rPr>
          <w:b/>
          <w:color w:val="538135" w:themeColor="accent6" w:themeShade="BF"/>
          <w:sz w:val="32"/>
          <w:u w:val="single"/>
        </w:rPr>
      </w:pPr>
      <w:r w:rsidRPr="001406F4">
        <w:rPr>
          <w:b/>
          <w:color w:val="538135" w:themeColor="accent6" w:themeShade="BF"/>
          <w:sz w:val="32"/>
          <w:u w:val="single"/>
        </w:rPr>
        <w:t>UPCOMING</w:t>
      </w:r>
      <w:r w:rsidR="00685CF5" w:rsidRPr="001406F4">
        <w:rPr>
          <w:b/>
          <w:color w:val="538135" w:themeColor="accent6" w:themeShade="BF"/>
          <w:sz w:val="32"/>
          <w:u w:val="single"/>
        </w:rPr>
        <w:t xml:space="preserve"> EVENTS:</w:t>
      </w:r>
      <w:r w:rsidR="00685CF5" w:rsidRPr="001406F4">
        <w:rPr>
          <w:b/>
          <w:color w:val="538135" w:themeColor="accent6" w:themeShade="BF"/>
          <w:sz w:val="32"/>
        </w:rPr>
        <w:t xml:space="preserve"> </w:t>
      </w:r>
      <w:r w:rsidR="00292DA9" w:rsidRPr="001406F4">
        <w:rPr>
          <w:b/>
          <w:color w:val="538135" w:themeColor="accent6" w:themeShade="BF"/>
          <w:sz w:val="32"/>
        </w:rPr>
        <w:t xml:space="preserve"> </w:t>
      </w:r>
      <w:r w:rsidR="004B3B38">
        <w:rPr>
          <w:b/>
          <w:sz w:val="32"/>
        </w:rPr>
        <w:t>unccn.org</w:t>
      </w:r>
      <w:r w:rsidR="00685CF5" w:rsidRPr="001406F4">
        <w:rPr>
          <w:b/>
          <w:sz w:val="32"/>
        </w:rPr>
        <w:t>/events</w:t>
      </w:r>
    </w:p>
    <w:p w14:paraId="2C7C074B" w14:textId="77777777" w:rsidR="00AE0760" w:rsidRDefault="00AE0760" w:rsidP="00AE0760">
      <w:pPr>
        <w:jc w:val="center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510"/>
        <w:gridCol w:w="3150"/>
        <w:gridCol w:w="4140"/>
      </w:tblGrid>
      <w:tr w:rsidR="00AE0760" w14:paraId="519C7144" w14:textId="77777777" w:rsidTr="00887C77">
        <w:tc>
          <w:tcPr>
            <w:tcW w:w="3510" w:type="dxa"/>
            <w:vAlign w:val="center"/>
          </w:tcPr>
          <w:p w14:paraId="2D3099B2" w14:textId="77777777" w:rsidR="00AE0760" w:rsidRPr="001406F4" w:rsidRDefault="00AE0760" w:rsidP="00887C77">
            <w:pPr>
              <w:jc w:val="center"/>
              <w:rPr>
                <w:color w:val="55A2D7"/>
                <w:sz w:val="16"/>
                <w:szCs w:val="16"/>
              </w:rPr>
            </w:pPr>
            <w:r w:rsidRPr="001406F4">
              <w:rPr>
                <w:b/>
                <w:bCs/>
                <w:color w:val="55A2D7"/>
                <w:sz w:val="16"/>
                <w:szCs w:val="16"/>
              </w:rPr>
              <w:t>The School of Nursing at the University of North Carolina at Chapel Hill is accredited as a provider of continuing nursing education by the American Nurses Credentialing Center's Commission on Accreditation.</w:t>
            </w:r>
          </w:p>
          <w:p w14:paraId="3C850626" w14:textId="77777777" w:rsidR="00AE0760" w:rsidRPr="001406F4" w:rsidRDefault="00AE0760" w:rsidP="00887C77">
            <w:pPr>
              <w:rPr>
                <w:sz w:val="10"/>
                <w:szCs w:val="10"/>
              </w:rPr>
            </w:pPr>
          </w:p>
          <w:p w14:paraId="5649BA64" w14:textId="77777777" w:rsidR="00AE0760" w:rsidRDefault="00AE0760" w:rsidP="00887C77">
            <w:pPr>
              <w:jc w:val="center"/>
              <w:rPr>
                <w:b/>
                <w:color w:val="538135" w:themeColor="accent6" w:themeShade="BF"/>
                <w:sz w:val="32"/>
                <w:u w:val="single"/>
              </w:rPr>
            </w:pPr>
            <w:r w:rsidRPr="001406F4">
              <w:rPr>
                <w:sz w:val="16"/>
                <w:szCs w:val="16"/>
              </w:rPr>
              <w:t>To successfully complete this program and be awarded</w:t>
            </w:r>
            <w:r w:rsidRPr="001406F4">
              <w:rPr>
                <w:b/>
                <w:bCs/>
                <w:sz w:val="16"/>
                <w:szCs w:val="16"/>
              </w:rPr>
              <w:t xml:space="preserve"> 1 ANCC contact hour</w:t>
            </w:r>
            <w:r w:rsidRPr="001406F4">
              <w:rPr>
                <w:sz w:val="16"/>
                <w:szCs w:val="16"/>
              </w:rPr>
              <w:t xml:space="preserve"> you must attend at least 50 minutes of the seminar and complete the online evaluation.</w:t>
            </w:r>
          </w:p>
        </w:tc>
        <w:tc>
          <w:tcPr>
            <w:tcW w:w="3150" w:type="dxa"/>
            <w:vAlign w:val="center"/>
          </w:tcPr>
          <w:p w14:paraId="65807F51" w14:textId="77777777" w:rsidR="00AE0760" w:rsidRDefault="00AE0760" w:rsidP="00887C77">
            <w:pPr>
              <w:jc w:val="center"/>
              <w:rPr>
                <w:b/>
                <w:bCs/>
                <w:color w:val="55A2D7"/>
                <w:sz w:val="16"/>
                <w:szCs w:val="16"/>
              </w:rPr>
            </w:pPr>
            <w:r w:rsidRPr="007D7558">
              <w:rPr>
                <w:b/>
                <w:bCs/>
                <w:color w:val="55A2D7"/>
                <w:sz w:val="16"/>
                <w:szCs w:val="16"/>
              </w:rPr>
              <w:t xml:space="preserve">The American Registry of Radiologic Technologists (ARRT) is a leading credentialing organization that </w:t>
            </w:r>
          </w:p>
          <w:p w14:paraId="0DA14356" w14:textId="77777777" w:rsidR="00AE0760" w:rsidRPr="007D7558" w:rsidRDefault="00AE0760" w:rsidP="00887C77">
            <w:pPr>
              <w:jc w:val="center"/>
              <w:rPr>
                <w:b/>
                <w:bCs/>
                <w:color w:val="55A2D7"/>
                <w:sz w:val="16"/>
                <w:szCs w:val="16"/>
              </w:rPr>
            </w:pPr>
            <w:r w:rsidRPr="007D7558">
              <w:rPr>
                <w:b/>
                <w:bCs/>
                <w:color w:val="55A2D7"/>
                <w:sz w:val="16"/>
                <w:szCs w:val="16"/>
              </w:rPr>
              <w:t xml:space="preserve">recognizes qualified individuals in </w:t>
            </w:r>
            <w:r>
              <w:rPr>
                <w:b/>
                <w:bCs/>
                <w:color w:val="55A2D7"/>
                <w:sz w:val="16"/>
                <w:szCs w:val="16"/>
              </w:rPr>
              <w:t xml:space="preserve">medical imaging, interventional </w:t>
            </w:r>
            <w:r w:rsidRPr="007D7558">
              <w:rPr>
                <w:b/>
                <w:bCs/>
                <w:color w:val="55A2D7"/>
                <w:sz w:val="16"/>
                <w:szCs w:val="16"/>
              </w:rPr>
              <w:t>procedures, and radiation therapy.</w:t>
            </w:r>
          </w:p>
          <w:p w14:paraId="7EA0E5D9" w14:textId="77777777" w:rsidR="00AE0760" w:rsidRPr="001406F4" w:rsidRDefault="00AE0760" w:rsidP="00887C77">
            <w:pPr>
              <w:rPr>
                <w:sz w:val="10"/>
                <w:szCs w:val="10"/>
              </w:rPr>
            </w:pPr>
          </w:p>
          <w:p w14:paraId="7D9EAB17" w14:textId="45A5C712" w:rsidR="00AE0760" w:rsidRPr="007D7558" w:rsidRDefault="00AE0760" w:rsidP="00887C77">
            <w:pPr>
              <w:jc w:val="center"/>
              <w:rPr>
                <w:sz w:val="16"/>
                <w:szCs w:val="16"/>
              </w:rPr>
            </w:pPr>
            <w:r w:rsidRPr="001406F4">
              <w:rPr>
                <w:b/>
                <w:sz w:val="16"/>
                <w:szCs w:val="16"/>
              </w:rPr>
              <w:t>This activity is worth 1 credit hour and is pending approval by the ASRT.</w:t>
            </w:r>
          </w:p>
        </w:tc>
        <w:tc>
          <w:tcPr>
            <w:tcW w:w="4140" w:type="dxa"/>
            <w:vAlign w:val="center"/>
          </w:tcPr>
          <w:p w14:paraId="4B169BE6" w14:textId="77777777" w:rsidR="00AE0760" w:rsidRPr="001406F4" w:rsidRDefault="00AE0760" w:rsidP="00887C77">
            <w:pPr>
              <w:jc w:val="center"/>
              <w:rPr>
                <w:color w:val="55A2D7"/>
                <w:sz w:val="16"/>
                <w:szCs w:val="16"/>
              </w:rPr>
            </w:pPr>
            <w:r>
              <w:rPr>
                <w:b/>
                <w:bCs/>
                <w:color w:val="55A2D7"/>
                <w:sz w:val="16"/>
                <w:szCs w:val="16"/>
              </w:rPr>
              <w:t>The School of Medicine of the University of North Carolina at Chapel Hill is accredited by the Accreditation Council for Continuing Medical Education</w:t>
            </w:r>
            <w:r w:rsidRPr="001406F4">
              <w:rPr>
                <w:b/>
                <w:bCs/>
                <w:color w:val="55A2D7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55A2D7"/>
                <w:sz w:val="16"/>
                <w:szCs w:val="16"/>
              </w:rPr>
              <w:t>(ACCME) to provide continuing medical education for physicians.</w:t>
            </w:r>
          </w:p>
          <w:p w14:paraId="3D679AD9" w14:textId="77777777" w:rsidR="00AE0760" w:rsidRPr="001406F4" w:rsidRDefault="00AE0760" w:rsidP="00887C77">
            <w:pPr>
              <w:jc w:val="center"/>
              <w:rPr>
                <w:sz w:val="10"/>
                <w:szCs w:val="10"/>
              </w:rPr>
            </w:pPr>
          </w:p>
          <w:p w14:paraId="4AAC5DEF" w14:textId="77777777" w:rsidR="00AE0760" w:rsidRDefault="00AE0760" w:rsidP="00887C77">
            <w:pPr>
              <w:jc w:val="center"/>
              <w:rPr>
                <w:b/>
                <w:color w:val="538135" w:themeColor="accent6" w:themeShade="BF"/>
                <w:sz w:val="32"/>
                <w:u w:val="single"/>
              </w:rPr>
            </w:pPr>
            <w:r>
              <w:rPr>
                <w:sz w:val="16"/>
                <w:szCs w:val="16"/>
              </w:rPr>
              <w:t xml:space="preserve">The School of Medicine of the University of North Carolina at Chapel Hill designates this live activity for a maximum of 1.0 </w:t>
            </w:r>
            <w:r w:rsidRPr="00377F5D">
              <w:rPr>
                <w:i/>
                <w:sz w:val="16"/>
                <w:szCs w:val="16"/>
              </w:rPr>
              <w:t>AMA PRA Category 1 Credit(s)™</w:t>
            </w:r>
            <w:r>
              <w:rPr>
                <w:sz w:val="16"/>
                <w:szCs w:val="16"/>
              </w:rPr>
              <w:t>. Physicians should claim only the credit commensurate with the extent of their participation in the activity.</w:t>
            </w:r>
          </w:p>
        </w:tc>
      </w:tr>
    </w:tbl>
    <w:p w14:paraId="79B21691" w14:textId="77777777" w:rsidR="00AE0760" w:rsidRDefault="00AE0760" w:rsidP="00AE0760">
      <w:pPr>
        <w:jc w:val="center"/>
        <w:rPr>
          <w:sz w:val="10"/>
          <w:szCs w:val="10"/>
        </w:rPr>
      </w:pPr>
    </w:p>
    <w:p w14:paraId="4018A2D9" w14:textId="77777777" w:rsidR="00AE0760" w:rsidRDefault="00AE0760" w:rsidP="00AE0760">
      <w:pPr>
        <w:jc w:val="center"/>
        <w:rPr>
          <w:sz w:val="10"/>
          <w:szCs w:val="10"/>
        </w:rPr>
      </w:pPr>
    </w:p>
    <w:p w14:paraId="0C2C4783" w14:textId="77777777" w:rsidR="00AE0760" w:rsidRDefault="00AE0760" w:rsidP="00AE0760">
      <w:pPr>
        <w:jc w:val="center"/>
        <w:rPr>
          <w:sz w:val="10"/>
          <w:szCs w:val="10"/>
        </w:rPr>
      </w:pPr>
    </w:p>
    <w:p w14:paraId="19C0168D" w14:textId="77777777" w:rsidR="00AE0760" w:rsidRPr="00994061" w:rsidRDefault="00AE0760" w:rsidP="00AE0760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900"/>
        <w:gridCol w:w="2340"/>
        <w:gridCol w:w="540"/>
        <w:gridCol w:w="900"/>
        <w:gridCol w:w="3685"/>
      </w:tblGrid>
      <w:tr w:rsidR="00AE0760" w14:paraId="55DF4382" w14:textId="77777777" w:rsidTr="00887C77">
        <w:tc>
          <w:tcPr>
            <w:tcW w:w="2425" w:type="dxa"/>
          </w:tcPr>
          <w:p w14:paraId="792DEE45" w14:textId="77777777" w:rsidR="00AE0760" w:rsidRDefault="00AE0760" w:rsidP="00887C77">
            <w:pPr>
              <w:jc w:val="center"/>
              <w:rPr>
                <w:noProof/>
              </w:rPr>
            </w:pPr>
          </w:p>
        </w:tc>
        <w:tc>
          <w:tcPr>
            <w:tcW w:w="900" w:type="dxa"/>
          </w:tcPr>
          <w:p w14:paraId="721ABF1B" w14:textId="77777777" w:rsidR="00AE0760" w:rsidRDefault="00AE0760" w:rsidP="00887C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F867D0" wp14:editId="1AB3872F">
                  <wp:extent cx="318135" cy="330860"/>
                  <wp:effectExtent l="0" t="0" r="12065" b="0"/>
                  <wp:docPr id="3" name="Picture 3" descr="/Users/alanbrown/Desktop/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alanbrown/Desktop/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26" cy="3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225A56" w14:textId="77777777" w:rsidR="00AE0760" w:rsidRPr="00292DA9" w:rsidRDefault="00AE0760" w:rsidP="00887C77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facebook.com/</w:t>
            </w:r>
            <w:proofErr w:type="spellStart"/>
            <w:r w:rsidRPr="00292DA9">
              <w:rPr>
                <w:sz w:val="20"/>
                <w:szCs w:val="20"/>
              </w:rPr>
              <w:t>unccn</w:t>
            </w:r>
            <w:proofErr w:type="spellEnd"/>
          </w:p>
        </w:tc>
        <w:tc>
          <w:tcPr>
            <w:tcW w:w="540" w:type="dxa"/>
          </w:tcPr>
          <w:p w14:paraId="4BF03B88" w14:textId="77777777" w:rsidR="00AE0760" w:rsidRDefault="00AE0760" w:rsidP="00887C77">
            <w:pPr>
              <w:jc w:val="center"/>
            </w:pPr>
          </w:p>
        </w:tc>
        <w:tc>
          <w:tcPr>
            <w:tcW w:w="900" w:type="dxa"/>
          </w:tcPr>
          <w:p w14:paraId="5A28A347" w14:textId="77777777" w:rsidR="00AE0760" w:rsidRDefault="00AE0760" w:rsidP="00887C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55C9D9" wp14:editId="1A2D7761">
                  <wp:extent cx="318135" cy="324498"/>
                  <wp:effectExtent l="0" t="0" r="12065" b="5715"/>
                  <wp:docPr id="4" name="Picture 4" descr="/Users/alanbrown/Desktop/twi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alanbrown/Desktop/twi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14" cy="34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0CB096" w14:textId="77777777" w:rsidR="00AE0760" w:rsidRPr="00292DA9" w:rsidRDefault="00AE0760" w:rsidP="00887C77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@</w:t>
            </w:r>
            <w:proofErr w:type="spellStart"/>
            <w:r w:rsidRPr="00292DA9">
              <w:rPr>
                <w:sz w:val="20"/>
                <w:szCs w:val="20"/>
              </w:rPr>
              <w:t>unc_cn</w:t>
            </w:r>
            <w:proofErr w:type="spellEnd"/>
          </w:p>
        </w:tc>
      </w:tr>
    </w:tbl>
    <w:p w14:paraId="2E97A5DD" w14:textId="77777777" w:rsidR="00D6081F" w:rsidRDefault="00D6081F" w:rsidP="00AE0760"/>
    <w:sectPr w:rsidR="00D6081F" w:rsidSect="00292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86DFB"/>
    <w:multiLevelType w:val="hybridMultilevel"/>
    <w:tmpl w:val="1F2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04"/>
    <w:rsid w:val="00027AC1"/>
    <w:rsid w:val="0009312C"/>
    <w:rsid w:val="000C49B2"/>
    <w:rsid w:val="001406F4"/>
    <w:rsid w:val="00154D87"/>
    <w:rsid w:val="00190783"/>
    <w:rsid w:val="001E7B9D"/>
    <w:rsid w:val="00236659"/>
    <w:rsid w:val="00292DA9"/>
    <w:rsid w:val="00377F5D"/>
    <w:rsid w:val="003847D3"/>
    <w:rsid w:val="00400004"/>
    <w:rsid w:val="004067F3"/>
    <w:rsid w:val="00477AB2"/>
    <w:rsid w:val="00494E54"/>
    <w:rsid w:val="004B3B38"/>
    <w:rsid w:val="0054317E"/>
    <w:rsid w:val="00685CF5"/>
    <w:rsid w:val="00791056"/>
    <w:rsid w:val="00952EAF"/>
    <w:rsid w:val="00994061"/>
    <w:rsid w:val="00A07B9D"/>
    <w:rsid w:val="00AE0760"/>
    <w:rsid w:val="00C061D1"/>
    <w:rsid w:val="00CB59F3"/>
    <w:rsid w:val="00D6081F"/>
    <w:rsid w:val="00E05429"/>
    <w:rsid w:val="00F02488"/>
    <w:rsid w:val="00F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4C9F0A-1A8D-1A4E-A172-A6BD79E9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Cancer Network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Alan Spencer</dc:creator>
  <cp:keywords/>
  <dc:description/>
  <cp:lastModifiedBy>Powell, Jon David</cp:lastModifiedBy>
  <cp:revision>20</cp:revision>
  <cp:lastPrinted>2016-07-28T17:43:00Z</cp:lastPrinted>
  <dcterms:created xsi:type="dcterms:W3CDTF">2016-07-25T14:51:00Z</dcterms:created>
  <dcterms:modified xsi:type="dcterms:W3CDTF">2018-01-25T20:38:00Z</dcterms:modified>
</cp:coreProperties>
</file>